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77777777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Pr="00327EBB">
        <w:rPr>
          <w:rFonts w:ascii="Times New Roman" w:hAnsi="Times New Roman"/>
          <w:bCs/>
          <w:sz w:val="24"/>
          <w:szCs w:val="24"/>
        </w:rPr>
        <w:t>по организации и проведению форума «Мой бизнес. День российского предпринимательства»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 xml:space="preserve"> (предмет договора).</w:t>
      </w:r>
    </w:p>
    <w:p w14:paraId="172FA42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>услуга по организации и проведению форума «Мой бизнес. День российского предпринимательства».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</w:r>
      <w:proofErr w:type="gramStart"/>
      <w:r w:rsidRPr="00327EBB">
        <w:rPr>
          <w:rFonts w:ascii="Times New Roman" w:hAnsi="Times New Roman"/>
          <w:sz w:val="24"/>
          <w:szCs w:val="24"/>
        </w:rPr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</w:t>
      </w:r>
      <w:proofErr w:type="gramEnd"/>
      <w:r w:rsidRPr="00327EBB">
        <w:rPr>
          <w:rFonts w:ascii="Times New Roman" w:hAnsi="Times New Roman"/>
          <w:sz w:val="24"/>
          <w:szCs w:val="24"/>
          <w:u w:val="single"/>
        </w:rPr>
        <w:t>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B14DCF"/>
    <w:rsid w:val="00B658A0"/>
    <w:rsid w:val="00C13913"/>
    <w:rsid w:val="00CC04CE"/>
    <w:rsid w:val="00CC6052"/>
    <w:rsid w:val="00D211CB"/>
    <w:rsid w:val="00D7765F"/>
    <w:rsid w:val="00E93693"/>
    <w:rsid w:val="00E97DC1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1454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4</cp:revision>
  <dcterms:created xsi:type="dcterms:W3CDTF">2026-04-01T11:01:00Z</dcterms:created>
  <dcterms:modified xsi:type="dcterms:W3CDTF">2026-05-04T13:07:00Z</dcterms:modified>
</cp:coreProperties>
</file>